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0"/>
      </w:pPr>
      <w:r>
        <w:rPr>
          <w:b/>
          <w:color w:val="231F20"/>
          <w:sz w:val="34"/>
        </w:rPr>
        <w:t>Aufklärung und Therapieplan</w:t>
      </w:r>
    </w:p>
    <w:p>
      <w:r>
        <w:rPr>
          <w:b w:val="0"/>
          <w:i w:val="0"/>
          <w:color w:val="6B6466"/>
          <w:sz w:val="22"/>
        </w:rPr>
        <w:t>Individueller Behandlungsversuch mit körperidentischen Hormonen (Methode nach Rimkus)</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5975"/>
        <w:gridCol w:w="3662"/>
      </w:tblGrid>
      <w:tr>
        <w:tc>
          <w:tcPr>
            <w:tcW w:type="dxa" w:w="5975"/>
          </w:tcPr>
          <w:p>
            <w:pPr>
              <w:spacing w:after="0"/>
            </w:pPr>
            <w:r>
              <w:rPr>
                <w:color w:val="6B6466"/>
                <w:sz w:val="17"/>
              </w:rPr>
              <w:t>Name, Vorname</w:t>
            </w:r>
          </w:p>
        </w:tc>
        <w:tc>
          <w:tcPr>
            <w:tcW w:type="dxa" w:w="3662"/>
          </w:tcPr>
          <w:p>
            <w:pPr>
              <w:spacing w:after="0"/>
            </w:pPr>
            <w:r>
              <w:rPr>
                <w:color w:val="6B6466"/>
                <w:sz w:val="17"/>
              </w:rPr>
              <w:t>Geburtsdatum</w:t>
            </w:r>
          </w:p>
        </w:tc>
      </w:tr>
      <w:tr>
        <w:tc>
          <w:tcPr>
            <w:tcW w:type="dxa" w:w="5975"/>
            <w:tcBorders>
              <w:bottom w:val="single" w:sz="6" w:color="231F20"/>
            </w:tcBorders>
          </w:tcPr>
          <w:p>
            <w:pPr>
              <w:spacing w:after="40"/>
            </w:pPr>
            <w:r>
              <w:t xml:space="preserve"> </w:t>
            </w:r>
          </w:p>
        </w:tc>
        <w:tc>
          <w:tcPr>
            <w:tcW w:type="dxa" w:w="3662"/>
            <w:tcBorders>
              <w:bottom w:val="single" w:sz="6" w:color="231F20"/>
            </w:tcBorders>
          </w:tcPr>
          <w:p>
            <w:pPr>
              <w:spacing w:after="40"/>
            </w:pPr>
            <w:r>
              <w:t xml:space="preserve"> </w:t>
            </w:r>
          </w:p>
        </w:tc>
      </w:tr>
    </w:tbl>
    <w:p>
      <w:pPr>
        <w:spacing w:after="0"/>
      </w:pP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4819"/>
        <w:gridCol w:w="4819"/>
      </w:tblGrid>
      <w:tr>
        <w:tc>
          <w:tcPr>
            <w:tcW w:type="dxa" w:w="4819"/>
          </w:tcPr>
          <w:p>
            <w:pPr>
              <w:spacing w:after="0"/>
            </w:pPr>
            <w:r>
              <w:rPr>
                <w:color w:val="6B6466"/>
                <w:sz w:val="17"/>
              </w:rPr>
              <w:t>Straße, Hausnummer</w:t>
            </w:r>
          </w:p>
        </w:tc>
        <w:tc>
          <w:tcPr>
            <w:tcW w:type="dxa" w:w="4819"/>
          </w:tcPr>
          <w:p>
            <w:pPr>
              <w:spacing w:after="0"/>
            </w:pPr>
            <w:r>
              <w:rPr>
                <w:color w:val="6B6466"/>
                <w:sz w:val="17"/>
              </w:rPr>
              <w:t>PLZ, Wohnort</w:t>
            </w:r>
          </w:p>
        </w:tc>
      </w:tr>
      <w:tr>
        <w:tc>
          <w:tcPr>
            <w:tcW w:type="dxa" w:w="4819"/>
            <w:tcBorders>
              <w:bottom w:val="single" w:sz="6" w:color="231F20"/>
            </w:tcBorders>
          </w:tcPr>
          <w:p>
            <w:pPr>
              <w:spacing w:after="40"/>
            </w:pPr>
            <w:r>
              <w:t xml:space="preserve"> </w:t>
            </w:r>
          </w:p>
        </w:tc>
        <w:tc>
          <w:tcPr>
            <w:tcW w:type="dxa" w:w="4819"/>
            <w:tcBorders>
              <w:bottom w:val="single" w:sz="6" w:color="231F20"/>
            </w:tcBorders>
          </w:tcPr>
          <w:p>
            <w:pPr>
              <w:spacing w:after="40"/>
            </w:pPr>
            <w:r>
              <w:t xml:space="preserve"> </w:t>
            </w:r>
          </w:p>
        </w:tc>
      </w:tr>
    </w:tbl>
    <w:p>
      <w:pPr>
        <w:spacing w:after="0"/>
      </w:pPr>
    </w:p>
    <w:p>
      <w:pPr>
        <w:keepNext/>
        <w:spacing w:before="160"/>
      </w:pPr>
      <w:r>
        <w:rPr>
          <w:b/>
          <w:color w:val="2E4A43"/>
          <w:sz w:val="25"/>
        </w:rPr>
        <w:t>Worum es geht</w:t>
      </w:r>
    </w:p>
    <w:p>
      <w:r>
        <w:rPr>
          <w:b w:val="0"/>
          <w:i w:val="0"/>
          <w:sz w:val="21"/>
        </w:rPr>
        <w:t>Nach Auswertung Ihrer Beschwerden und Ihrer Hormonwerte schlagen wir Ihnen eine Behandlung mit körperidentischen Hormonen vor (zum Beispiel Östradiol, Progesteron, bei Bedarf ergänzt um Vitamin D3, Zink oder Kupfer). Die Kapseln werden nach ärztlichem Rezept in einer darauf spezialisierten Apotheke individuell für Sie hergestellt (Rezepturarzneimittel).</w:t>
      </w:r>
    </w:p>
    <w:p>
      <w:r>
        <w:rPr>
          <w:b/>
          <w:i w:val="0"/>
          <w:sz w:val="21"/>
        </w:rPr>
        <w:t>Wichtig:</w:t>
      </w:r>
      <w:r>
        <w:rPr>
          <w:b w:val="0"/>
          <w:i w:val="0"/>
          <w:sz w:val="21"/>
        </w:rPr>
        <w:t xml:space="preserve"> Für Kapseln in dieser Zusammensetzung gibt es keine arzneimittelrechtliche Zulassung als Fertigarzneimittel. Die Behandlung erfolgt daher als individueller Heilversuch in ärztlicher Verantwortung. Große Langzeitstudien, die die Sicherheit genau dieser Rezepturen belegen, liegen nicht vor.</w:t>
      </w:r>
    </w:p>
    <w:p>
      <w:pPr>
        <w:keepNext/>
        <w:spacing w:before="160"/>
      </w:pPr>
      <w:r>
        <w:rPr>
          <w:b/>
          <w:color w:val="2E4A43"/>
          <w:sz w:val="25"/>
        </w:rPr>
        <w:t>Mögliche Nebenwirkungen und Risiken</w:t>
      </w:r>
    </w:p>
    <w:p>
      <w:pPr>
        <w:pStyle w:val="ListBullet"/>
      </w:pPr>
      <w:r>
        <w:rPr>
          <w:b w:val="0"/>
          <w:i w:val="0"/>
          <w:sz w:val="21"/>
        </w:rPr>
        <w:t>Brustspannen (auch bei Männern), Wassereinlagerungen, Stimmungsschwankungen, Kopfschmerzen – häufig Zeichen einer zu hohen Dosis.</w:t>
      </w:r>
    </w:p>
    <w:p>
      <w:pPr>
        <w:pStyle w:val="ListBullet"/>
      </w:pPr>
      <w:r>
        <w:rPr>
          <w:b w:val="0"/>
          <w:i w:val="0"/>
          <w:sz w:val="21"/>
        </w:rPr>
        <w:t>Bei Frauen Schmier- oder Durchbruchblutungen.</w:t>
      </w:r>
    </w:p>
    <w:p>
      <w:pPr>
        <w:pStyle w:val="ListBullet"/>
      </w:pPr>
      <w:r>
        <w:rPr>
          <w:b w:val="0"/>
          <w:i w:val="0"/>
          <w:sz w:val="21"/>
        </w:rPr>
        <w:t>Wie bei jeder Hormontherapie kann ein erhöhtes Risiko für Thrombosen, Schlaganfall sowie für hormonabhängige Erkrankungen (zum Beispiel Brust-, Gebärmutter- oder Prostataerkrankungen) nicht ausgeschlossen werden. Deshalb sind die Vorsorgeuntersuchungen Voraussetzung der Behandlung.</w:t>
      </w:r>
    </w:p>
    <w:p>
      <w:pPr>
        <w:pStyle w:val="ListBullet"/>
      </w:pPr>
      <w:r>
        <w:rPr>
          <w:b w:val="0"/>
          <w:i w:val="0"/>
          <w:sz w:val="21"/>
        </w:rPr>
        <w:t xml:space="preserve">Die Kapseln sind </w:t>
      </w:r>
      <w:r>
        <w:rPr>
          <w:b/>
          <w:i w:val="0"/>
          <w:sz w:val="21"/>
        </w:rPr>
        <w:t>kein Verhütungsmittel</w:t>
      </w:r>
      <w:r>
        <w:rPr>
          <w:b w:val="0"/>
          <w:i w:val="0"/>
          <w:sz w:val="21"/>
        </w:rPr>
        <w:t>. Geeignet sind zum Beispiel Kupfer- oder Goldspirale oder Kondom. Eine Hormonspirale muss vor Therapiebeginn entfernt werden.</w:t>
      </w:r>
    </w:p>
    <w:p>
      <w:pPr>
        <w:pStyle w:val="ListBullet"/>
      </w:pPr>
      <w:r>
        <w:rPr>
          <w:b w:val="0"/>
          <w:i w:val="0"/>
          <w:sz w:val="21"/>
        </w:rPr>
        <w:t>Die Behandlung ersetzt keine anderen notwendigen Therapien. Setzen Sie bisherige Medikamente nicht eigenmächtig ab.</w:t>
      </w:r>
    </w:p>
    <w:p>
      <w:pPr>
        <w:keepNext/>
        <w:spacing w:before="160"/>
      </w:pPr>
      <w:r>
        <w:rPr>
          <w:b/>
          <w:color w:val="2E4A43"/>
          <w:sz w:val="25"/>
        </w:rPr>
        <w:t>Ablauf und Therapieplan</w:t>
      </w:r>
    </w:p>
    <w:p>
      <w:pPr>
        <w:pStyle w:val="ListBullet"/>
      </w:pPr>
      <w:r>
        <w:rPr>
          <w:b w:val="0"/>
          <w:i w:val="0"/>
          <w:sz w:val="21"/>
        </w:rPr>
        <w:t>Vor Beginn: gynäkologische (nicht älter als 3 Monate) bzw. urologische (nicht älter als 12 Monate) Vorsorgeuntersuchung.</w:t>
      </w:r>
    </w:p>
    <w:p>
      <w:pPr>
        <w:pStyle w:val="ListBullet"/>
      </w:pPr>
      <w:r>
        <w:rPr>
          <w:b w:val="0"/>
          <w:i w:val="0"/>
          <w:sz w:val="21"/>
        </w:rPr>
        <w:t>Einnahme: morgens und abends je eine Kapsel (1-0-1), ohne Pause, solange Sie die Behandlung wünschen.</w:t>
      </w:r>
    </w:p>
    <w:p>
      <w:pPr>
        <w:pStyle w:val="ListBullet"/>
      </w:pPr>
      <w:r>
        <w:rPr>
          <w:b w:val="0"/>
          <w:i w:val="0"/>
          <w:sz w:val="21"/>
        </w:rPr>
        <w:t>Bei stärkerer Blutung: 6 Tage Pause, dann wieder beginnen. Bei Schmierblutungen weiter einnehmen und etwa 2 Wochen abwarten. Hört die Blutung nicht auf, melden Sie sich bitte in der Praxis.</w:t>
      </w:r>
    </w:p>
    <w:p>
      <w:pPr>
        <w:pStyle w:val="ListBullet"/>
      </w:pPr>
      <w:r>
        <w:rPr>
          <w:b w:val="0"/>
          <w:i w:val="0"/>
          <w:sz w:val="21"/>
        </w:rPr>
        <w:t>Erste Kontrolle der Hormonwerte nach gut zwei bis drei Monaten, danach im ersten Jahr meist vierteljährlich, später halbjährlich.</w:t>
      </w:r>
    </w:p>
    <w:p>
      <w:pPr>
        <w:pStyle w:val="ListBullet"/>
      </w:pPr>
      <w:r>
        <w:rPr>
          <w:b w:val="0"/>
          <w:i w:val="0"/>
          <w:sz w:val="21"/>
        </w:rPr>
        <w:t>Die Morgenkapsel am Tag der Kontrolle etwa 2 Stunden vor der Blutentnahme einnehmen. Die Dosis bis zur nächsten Anordnung nicht selbst ändern.</w:t>
      </w:r>
    </w:p>
    <w:p>
      <w:pPr>
        <w:pStyle w:val="ListBullet"/>
      </w:pPr>
      <w:r>
        <w:rPr>
          <w:b w:val="0"/>
          <w:i w:val="0"/>
          <w:sz w:val="21"/>
        </w:rPr>
        <w:t>Neue Kapseln rechtzeitig anfordern – Auswertung und Herstellung dauern etwa zwei bis drei Wochen. Legen Sie immer etwa 60 Kapseln zur Seite.</w:t>
      </w:r>
    </w:p>
    <w:p>
      <w:pPr>
        <w:pStyle w:val="ListBullet"/>
      </w:pPr>
      <w:r>
        <w:rPr>
          <w:b w:val="0"/>
          <w:i w:val="0"/>
          <w:sz w:val="21"/>
        </w:rPr>
        <w:t>Nach etwa 6 Monaten im Zielbereich ziehen wir gemeinsam Bilanz. Ist bis dahin keine Besserung spürbar, beenden wir die Behandlung.</w:t>
      </w:r>
    </w:p>
    <w:p>
      <w:pPr>
        <w:keepNext/>
        <w:spacing w:before="160"/>
      </w:pPr>
      <w:r>
        <w:rPr>
          <w:b/>
          <w:color w:val="2E4A43"/>
          <w:sz w:val="25"/>
        </w:rPr>
        <w:t>Kosten</w:t>
      </w:r>
    </w:p>
    <w:p>
      <w:r>
        <w:rPr>
          <w:b w:val="0"/>
          <w:i w:val="0"/>
          <w:sz w:val="21"/>
        </w:rPr>
        <w:t>Die Behandlung ist keine Leistung der gesetzlichen Krankenversicherung. Ärztliche Leistungen und Labor werden nach GOÄ berechnet; die Kapseln rechnet die Apotheke direkt mit Ihnen ab (Erfahrungswert ca. 150–200 € für 200 Kapseln).</w:t>
      </w:r>
    </w:p>
    <w:p>
      <w:pPr>
        <w:keepNext/>
        <w:spacing w:before="160"/>
      </w:pPr>
      <w:r>
        <w:rPr>
          <w:b/>
          <w:color w:val="2E4A43"/>
          <w:sz w:val="25"/>
        </w:rPr>
        <w:t>Einwilligung</w:t>
      </w:r>
    </w:p>
    <w:p>
      <w:r>
        <w:rPr>
          <w:b/>
        </w:rPr>
        <w:t xml:space="preserve">Vorsorge   </w:t>
      </w:r>
      <w:r>
        <w:t>☐ Frauen: gynäkologische Vorsorge ohne krankhaften Befund durchgeführt am     ☐ Männer: urologische Vorsorge ohne krankhaften Befund durchgeführt am</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9638"/>
      </w:tblGrid>
      <w:tr>
        <w:tc>
          <w:tcPr>
            <w:tcW w:type="dxa" w:w="9638"/>
          </w:tcPr>
          <w:p>
            <w:pPr>
              <w:spacing w:after="0"/>
            </w:pPr>
            <w:r>
              <w:rPr>
                <w:color w:val="6B6466"/>
                <w:sz w:val="17"/>
              </w:rPr>
              <w:t>Datum der Vorsorgeuntersuchung</w:t>
            </w:r>
          </w:p>
        </w:tc>
      </w:tr>
      <w:tr>
        <w:tc>
          <w:tcPr>
            <w:tcW w:type="dxa" w:w="9638"/>
            <w:tcBorders>
              <w:bottom w:val="single" w:sz="6" w:color="231F20"/>
            </w:tcBorders>
          </w:tcPr>
          <w:p>
            <w:pPr>
              <w:spacing w:after="40"/>
            </w:pPr>
            <w:r>
              <w:t xml:space="preserve"> </w:t>
            </w:r>
          </w:p>
        </w:tc>
      </w:tr>
    </w:tbl>
    <w:p>
      <w:pPr>
        <w:spacing w:after="0"/>
      </w:pPr>
    </w:p>
    <w:p>
      <w:pPr>
        <w:spacing w:after="0"/>
      </w:pPr>
      <w:r>
        <w:rPr>
          <w:color w:val="6B6466"/>
          <w:sz w:val="17"/>
        </w:rPr>
        <w:t>Besondere Risiken / Anmerkungen aus dem Aufklärungsgespräch (wird vom Arzt ausgefüllt)</w:t>
      </w:r>
    </w:p>
    <w:p>
      <w:pPr>
        <w:spacing w:after="0" w:before="200"/>
        <w:pBdr>
          <w:bottom w:val="single" w:sz="4" w:space="1" w:color="C9C1C5"/>
        </w:pBdr>
      </w:pPr>
    </w:p>
    <w:p>
      <w:pPr>
        <w:spacing w:after="0" w:before="200"/>
        <w:pBdr>
          <w:bottom w:val="single" w:sz="4" w:space="1" w:color="C9C1C5"/>
        </w:pBdr>
      </w:pPr>
    </w:p>
    <w:p>
      <w:pPr>
        <w:spacing w:after="0"/>
      </w:pPr>
    </w:p>
    <w:p>
      <w:r>
        <w:rPr>
          <w:b w:val="0"/>
          <w:i w:val="0"/>
          <w:sz w:val="21"/>
        </w:rPr>
        <w:t>Ich wurde in einem persönlichen Gespräch über Art, Ablauf, Nutzen, Risiken und Alternativen (auch zugelassene Fertigarzneimittel und den Verzicht auf eine Behandlung) aufgeklärt. Meine Fragen wurden beantwortet. Ich willige in den individuellen Behandlungsversuch ein. Eine Kopie dieses Bogens habe ich erhalten. Ich kann meine Einwilligung jederzeit widerrufen.</w:t>
      </w:r>
    </w:p>
    <w:p>
      <w:pPr>
        <w:spacing w:before="280"/>
      </w:pPr>
    </w:p>
    <w:tbl>
      <w:tblPr>
        <w:tblW w:type="auto" w:w="0"/>
        <w:tblLook w:firstColumn="1" w:firstRow="1" w:lastColumn="0" w:lastRow="0" w:noHBand="0" w:noVBand="1" w:val="04A0"/>
        <w:tblBorders>
          <w:top w:val="nil"/>
          <w:left w:val="nil"/>
          <w:bottom w:val="nil"/>
          <w:right w:val="nil"/>
          <w:insideH w:val="nil"/>
          <w:insideV w:val="nil"/>
        </w:tblBorders>
      </w:tblPr>
      <w:tblGrid>
        <w:gridCol w:w="3213"/>
        <w:gridCol w:w="3213"/>
        <w:gridCol w:w="3213"/>
      </w:tblGrid>
      <w:tr>
        <w:tc>
          <w:tcPr>
            <w:tcW w:type="dxa" w:w="3213"/>
            <w:tcBorders>
              <w:bottom w:val="single" w:sz="6" w:color="231F20"/>
            </w:tcBorders>
          </w:tcPr>
          <w:p>
            <w:r>
              <w:t xml:space="preserve"> </w:t>
            </w:r>
          </w:p>
        </w:tc>
        <w:tc>
          <w:tcPr>
            <w:tcW w:type="dxa" w:w="3213"/>
            <w:tcBorders>
              <w:bottom w:val="single" w:sz="6" w:color="231F20"/>
            </w:tcBorders>
          </w:tcPr>
          <w:p>
            <w:r>
              <w:t xml:space="preserve"> </w:t>
            </w:r>
          </w:p>
        </w:tc>
        <w:tc>
          <w:tcPr>
            <w:tcW w:type="dxa" w:w="3213"/>
            <w:tcBorders>
              <w:bottom w:val="single" w:sz="6" w:color="231F20"/>
            </w:tcBorders>
          </w:tcPr>
          <w:p>
            <w:r>
              <w:t xml:space="preserve"> </w:t>
            </w:r>
          </w:p>
        </w:tc>
      </w:tr>
      <w:tr>
        <w:tc>
          <w:tcPr>
            <w:tcW w:type="dxa" w:w="3213"/>
          </w:tcPr>
          <w:p>
            <w:r>
              <w:rPr>
                <w:color w:val="6B6466"/>
                <w:sz w:val="17"/>
              </w:rPr>
              <w:t>Ort, Datum</w:t>
            </w:r>
          </w:p>
        </w:tc>
        <w:tc>
          <w:tcPr>
            <w:tcW w:type="dxa" w:w="3213"/>
          </w:tcPr>
          <w:p>
            <w:r>
              <w:rPr>
                <w:color w:val="6B6466"/>
                <w:sz w:val="17"/>
              </w:rPr>
              <w:t>Unterschrift Patient/in bzw. gesetzliche/r Vertreter/in</w:t>
            </w:r>
          </w:p>
        </w:tc>
        <w:tc>
          <w:tcPr>
            <w:tcW w:type="dxa" w:w="3213"/>
          </w:tcPr>
          <w:p>
            <w:r>
              <w:rPr>
                <w:color w:val="6B6466"/>
                <w:sz w:val="17"/>
              </w:rPr>
              <w:t>Unterschrift Arzt</w:t>
            </w:r>
          </w:p>
        </w:tc>
      </w:tr>
    </w:tbl>
    <w:sectPr w:rsidR="00FC693F" w:rsidRPr="0006063C" w:rsidSect="00034616">
      <w:headerReference w:type="first" r:id="rId9"/>
      <w:headerReference w:type="default" r:id="rId10"/>
      <w:footerReference w:type="first" r:id="rId11"/>
      <w:footerReference w:type="default" r:id="rId12"/>
      <w:pgSz w:w="11906" w:h="16838"/>
      <w:pgMar w:top="850" w:right="1134" w:bottom="1020" w:left="1134"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466"/>
        <w:sz w:val="16"/>
      </w:rPr>
      <w:t>Praxis Dr. med. Thomas Kadzidroga · Bergstraße 49 · 88175 Scheidegg · Stand 10/2026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466"/>
        <w:sz w:val="16"/>
      </w:rPr>
      <w:t>Praxis Dr. med. Thomas Kadzidroga · Bergstraße 49 · 88175 Scheidegg · Stand 10/2026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auto" w:w="0"/>
      <w:tblLook w:firstColumn="1" w:firstRow="1" w:lastColumn="0" w:lastRow="0" w:noHBand="0" w:noVBand="1" w:val="04A0"/>
      <w:tblBorders>
        <w:top w:val="nil"/>
        <w:left w:val="nil"/>
        <w:bottom w:val="nil"/>
        <w:right w:val="nil"/>
        <w:insideH w:val="nil"/>
        <w:insideV w:val="nil"/>
      </w:tblBorders>
    </w:tblPr>
    <w:tblGrid>
      <w:gridCol w:w="4535"/>
      <w:gridCol w:w="3213"/>
      <w:gridCol w:w="3213"/>
    </w:tblGrid>
    <w:tr>
      <w:tc>
        <w:tcPr>
          <w:tcW w:type="dxa" w:w="4535"/>
        </w:tcPr>
        <w:p>
          <w:r>
            <w:drawing>
              <wp:inline xmlns:a="http://schemas.openxmlformats.org/drawingml/2006/main" xmlns:pic="http://schemas.openxmlformats.org/drawingml/2006/picture">
                <wp:extent cx="2232000" cy="695729"/>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2232000" cy="695729"/>
                        </a:xfrm>
                        <a:prstGeom prst="rect"/>
                      </pic:spPr>
                    </pic:pic>
                  </a:graphicData>
                </a:graphic>
              </wp:inline>
            </w:drawing>
          </w:r>
        </w:p>
        <w:p>
          <w:r>
            <w:rPr>
              <w:color w:val="6B6466"/>
              <w:sz w:val="16"/>
            </w:rPr>
            <w:t>Praktischer Arzt · Hormonsubstitution nach Rimkus · Venenerkrankungen · Migräne- und Tinnitusbehandlung</w:t>
          </w:r>
        </w:p>
      </w:tc>
      <w:tc>
        <w:tcPr>
          <w:tcW w:type="dxa" w:w="2948"/>
        </w:tcPr>
        <w:p>
          <w:pPr>
            <w:spacing w:after="0"/>
          </w:pPr>
          <w:r/>
          <w:r>
            <w:rPr>
              <w:sz w:val="17"/>
            </w:rPr>
            <w:t>Bergstraße 49</w:t>
          </w:r>
        </w:p>
        <w:p>
          <w:pPr>
            <w:spacing w:after="0"/>
          </w:pPr>
          <w:r>
            <w:rPr>
              <w:sz w:val="17"/>
            </w:rPr>
            <w:t>88175 Scheidegg</w:t>
          </w:r>
        </w:p>
        <w:p>
          <w:pPr>
            <w:spacing w:after="0"/>
          </w:pPr>
          <w:r>
            <w:rPr>
              <w:sz w:val="17"/>
            </w:rPr>
            <w:t>Tel. 08381 3233</w:t>
          </w:r>
        </w:p>
        <w:p>
          <w:pPr>
            <w:spacing w:after="0"/>
          </w:pPr>
          <w:r>
            <w:rPr>
              <w:sz w:val="17"/>
            </w:rPr>
            <w:t>Fax 08381 6060</w:t>
          </w:r>
        </w:p>
        <w:p>
          <w:pPr>
            <w:spacing w:after="0"/>
          </w:pPr>
          <w:r>
            <w:rPr>
              <w:sz w:val="17"/>
            </w:rPr>
            <w:t>praxis@kadzidroga.de</w:t>
          </w:r>
        </w:p>
        <w:p>
          <w:pPr>
            <w:spacing w:after="0"/>
          </w:pPr>
          <w:r>
            <w:rPr>
              <w:sz w:val="17"/>
            </w:rPr>
            <w:t>www.kadzidroga.de</w:t>
          </w:r>
        </w:p>
      </w:tc>
      <w:tc>
        <w:tcPr>
          <w:tcW w:type="dxa" w:w="2154"/>
        </w:tcPr>
        <w:p>
          <w:r>
            <w:drawing>
              <wp:inline xmlns:a="http://schemas.openxmlformats.org/drawingml/2006/main" xmlns:pic="http://schemas.openxmlformats.org/drawingml/2006/picture">
                <wp:extent cx="1224000" cy="1361478"/>
                <wp:docPr id="2" name="Picture 2"/>
                <wp:cNvGraphicFramePr>
                  <a:graphicFrameLocks noChangeAspect="1"/>
                </wp:cNvGraphicFramePr>
                <a:graphic>
                  <a:graphicData uri="http://schemas.openxmlformats.org/drawingml/2006/picture">
                    <pic:pic>
                      <pic:nvPicPr>
                        <pic:cNvPr id="0" name="beine1.png"/>
                        <pic:cNvPicPr/>
                      </pic:nvPicPr>
                      <pic:blipFill>
                        <a:blip r:embed="rId2"/>
                        <a:stretch>
                          <a:fillRect/>
                        </a:stretch>
                      </pic:blipFill>
                      <pic:spPr>
                        <a:xfrm>
                          <a:off x="0" y="0"/>
                          <a:ext cx="1224000" cy="1361478"/>
                        </a:xfrm>
                        <a:prstGeom prst="rect"/>
                      </pic:spPr>
                    </pic:pic>
                  </a:graphicData>
                </a:graphic>
              </wp:inline>
            </w:drawing>
          </w:r>
        </w:p>
      </w:tc>
    </w:tr>
  </w:tbl>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B6466"/>
        <w:sz w:val="16"/>
      </w:rPr>
      <w:t>Praxis Dr. Kadzidroga · Aufklärung und Therapieplan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Aufklärung und Therapieplan</dc:title>
  <dc:subject/>
  <dc:creator>Praxis Dr. Kadzidroga</dc:creator>
  <cp:keywords/>
  <dc:description>generated by python-docx</dc:description>
  <cp:lastModifiedBy/>
  <cp:revision>1</cp:revision>
  <dcterms:created xsi:type="dcterms:W3CDTF">2013-12-23T23:15:00Z</dcterms:created>
  <dcterms:modified xsi:type="dcterms:W3CDTF">2013-12-23T23:15:00Z</dcterms:modified>
  <cp:category/>
</cp:coreProperties>
</file>