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Behandlungsvertrag für Privatpatientinnen und Privatpatienten</w:t>
      </w:r>
    </w:p>
    <w:p>
      <w:r>
        <w:rPr>
          <w:b w:val="0"/>
          <w:i w:val="0"/>
          <w:color w:val="6B6466"/>
          <w:sz w:val="22"/>
        </w:rPr>
        <w:t>zwischen Dr. med. Thomas Kadzidroga, Scheidegg, und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Telefon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Private Krankenversicherung / Beihilfe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Vereinbarung</w:t>
      </w:r>
    </w:p>
    <w:p>
      <w:r>
        <w:rPr>
          <w:b w:val="0"/>
          <w:i w:val="0"/>
          <w:sz w:val="21"/>
        </w:rPr>
        <w:t>Ich wünsche meine Untersuchung und Behandlung als Privatpatient/in. Die Leistungen werden nach der Gebührenordnung für Ärzte (GOÄ) in der jeweils gültigen Fassung berechnet.</w:t>
      </w:r>
    </w:p>
    <w:p>
      <w:r>
        <w:rPr>
          <w:b w:val="0"/>
          <w:i w:val="0"/>
          <w:sz w:val="21"/>
        </w:rPr>
        <w:t>Persönliche ärztliche Leistungen werden in der Regel mit dem 2,3-fachen, medizinisch-technische Leistungen mit dem 1,8-fachen und Laborleistungen mit dem 1,15-fachen Gebührensatz berechnet. Bei besonderer Schwierigkeit, besonderem Zeitaufwand oder besonderen Umständen kann der Satz bis zum 3,5-fachen (technische Leistungen 2,5-fach, Labor 1,3-fach) steigen (§ 5 GOÄ). Die Begründung steht dann auf der Rechnung. Auslagen, zum Beispiel Verbands- und Verödungsmaterial, werden nach § 10 GOÄ gesondert berechnet.</w:t>
      </w:r>
    </w:p>
    <w:p>
      <w:r>
        <w:rPr>
          <w:b w:val="0"/>
          <w:i w:val="0"/>
          <w:sz w:val="21"/>
        </w:rPr>
        <w:t>Leistungen, die über das medizinisch Notwendige hinausgehen, erbringt die Praxis nur auf mein ausdrückliches Verlangen; sie werden auf der Rechnung als solche gekennzeichnet (§ 1 Abs. 2 GOÄ). Mir ist bekannt, dass meine Versicherung oder Beihilfestelle möglicherweise nicht alle Kosten erstattet. Die Zahlung der Rechnung ist unabhängig von Höhe und Zeitpunkt einer Erstattung.</w:t>
      </w:r>
    </w:p>
    <w:p>
      <w:r>
        <w:rPr>
          <w:b w:val="0"/>
          <w:i w:val="0"/>
          <w:sz w:val="21"/>
        </w:rPr>
        <w:t>Die Rechnung ist innerhalb von 30 Tagen nach Zugang fällig.</w:t>
      </w:r>
    </w:p>
    <w:p>
      <w:pPr>
        <w:ind w:left="340" w:hanging="340"/>
      </w:pPr>
      <w:r>
        <w:t xml:space="preserve">☐  </w:t>
      </w:r>
      <w:r>
        <w:rPr>
          <w:b w:val="0"/>
          <w:i w:val="0"/>
          <w:sz w:val="21"/>
        </w:rPr>
        <w:t>Ich bin einverstanden, dass die Praxis zur Rechnungsstellung eine privatärztliche Abrechnungsstelle beauftragt und ihr die dafür nötigen Daten übermittelt (siehe Patienteninformation Datenschutz). Insoweit entbinde ich von der Schweigepflicht.</w:t>
      </w: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3213"/>
          </w:tcPr>
          <w:p>
            <w:r>
              <w:rPr>
                <w:color w:val="6B6466"/>
                <w:sz w:val="17"/>
              </w:rPr>
              <w:t>Unterschrift Patient/in bzw. gesetzliche/r Vertreter/in</w:t>
            </w:r>
          </w:p>
        </w:tc>
        <w:tc>
          <w:tcPr>
            <w:tcW w:type="dxa" w:w="3213"/>
          </w:tcPr>
          <w:p>
            <w:r>
              <w:rPr>
                <w:color w:val="6B6466"/>
                <w:sz w:val="17"/>
              </w:rPr>
              <w:t>Unterschrift Arzt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Behandlungsvertrag für Privatpatientinnen und Privatpatienten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Behandlungsvertrag für Privatpatientinnen und Privatpatienten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